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Rule="auto"/>
        <w:contextualSpacing w:val="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Projeto de Minicursos: </w:t>
      </w:r>
      <w:r w:rsidDel="00000000" w:rsidR="00000000" w:rsidRPr="00000000">
        <w:rPr>
          <w:rFonts w:ascii="Arial" w:cs="Arial" w:eastAsia="Arial" w:hAnsi="Arial"/>
          <w:b w:val="1"/>
          <w:sz w:val="24"/>
          <w:szCs w:val="24"/>
          <w:rtl w:val="0"/>
        </w:rPr>
        <w:t xml:space="preserve">parceria com as redes públicas de ensino e a qualificação da formação inicial do professor de matemática </w:t>
      </w:r>
      <w:r w:rsidDel="00000000" w:rsidR="00000000" w:rsidRPr="00000000">
        <w:rPr>
          <w:rtl w:val="0"/>
        </w:rPr>
      </w:r>
    </w:p>
    <w:p w:rsidR="00000000" w:rsidDel="00000000" w:rsidP="00000000" w:rsidRDefault="00000000" w:rsidRPr="00000000">
      <w:pPr>
        <w:spacing w:after="0" w:lineRule="auto"/>
        <w:contextualSpacing w:val="0"/>
        <w:rPr>
          <w:rFonts w:ascii="Arial" w:cs="Arial" w:eastAsia="Arial" w:hAnsi="Arial"/>
          <w:b w:val="1"/>
          <w:sz w:val="24"/>
          <w:szCs w:val="24"/>
        </w:rPr>
      </w:pPr>
      <w:r w:rsidDel="00000000" w:rsidR="00000000" w:rsidRPr="00000000">
        <w:rPr>
          <w:rtl w:val="0"/>
        </w:rPr>
      </w:r>
    </w:p>
    <w:p w:rsidR="00000000" w:rsidDel="00000000" w:rsidP="00000000" w:rsidRDefault="00000000" w:rsidRPr="00000000">
      <w:pPr>
        <w:spacing w:after="0" w:lineRule="auto"/>
        <w:contextualSpacing w:val="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Eduarda Santos de Oliveira</w:t>
      </w:r>
    </w:p>
    <w:p w:rsidR="00000000" w:rsidDel="00000000" w:rsidP="00000000" w:rsidRDefault="00000000" w:rsidRPr="00000000">
      <w:pPr>
        <w:spacing w:after="0" w:lineRule="auto"/>
        <w:contextualSpacing w:val="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Camila Labres Nemos</w:t>
      </w:r>
    </w:p>
    <w:p w:rsidR="00000000" w:rsidDel="00000000" w:rsidP="00000000" w:rsidRDefault="00000000" w:rsidRPr="00000000">
      <w:pPr>
        <w:spacing w:after="0" w:lineRule="auto"/>
        <w:contextualSpacing w:val="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Orientação: Jaqueline Molon</w:t>
      </w:r>
    </w:p>
    <w:p w:rsidR="00000000" w:rsidDel="00000000" w:rsidP="00000000" w:rsidRDefault="00000000" w:rsidRPr="00000000">
      <w:pPr>
        <w:spacing w:after="0" w:lineRule="auto"/>
        <w:contextualSpacing w:val="0"/>
        <w:jc w:val="right"/>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rtl w:val="0"/>
        </w:rPr>
        <w:t xml:space="preserve">Coorientação: Carina</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Loureiro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z w:val="24"/>
          <w:szCs w:val="24"/>
          <w:rtl w:val="0"/>
        </w:rPr>
        <w:t xml:space="preserve">Andrade</w:t>
      </w:r>
    </w:p>
    <w:p w:rsidR="00000000" w:rsidDel="00000000" w:rsidP="00000000" w:rsidRDefault="00000000" w:rsidRPr="00000000">
      <w:pPr>
        <w:spacing w:after="0" w:lineRule="auto"/>
        <w:contextualSpacing w:val="0"/>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Projeto de Minicursos Ensinar e Aprender Matemática vêm sendo realizado, no Campus Canoas, desde 2015. Em 2017, com o objetivo de aproximar os estudantes do Curso de Licenciatura em Matemática (LMAT) das escolas de educação básica do município e região além de promover a integração entre a instituição formadora e as redes públicas de ensino, o projeto está sendo desenvolvido na modalidade Extensão com o subtítulo “parceria IFRS-escola”.. Para além do antes exposto essa proposta vai ao encontro do projeto de criação dos Institutos Federais no que tange ao atendimento de demandas da comunidade externa dos campi em suas localidades. Dessa forma, o Projeto de Minicursos possui dupla finalidade: atender a demandas do</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 licenciandos, no que se refere a diversificação de ambientes para o exercício da docência durante seus percursos formativos e a demandas das escolas-parceiras que têm seus estudantes participando de atividades de complementação e revisão de estudos as quais, muitas vezes, não seriam possíveis sem iniciativas como esta. Os minicursos são organizados pelos alunos da LMAT com a orientação de pelo menos um professor da área. Os encontros têm, em média, duração de três horas e as datas são organizadas diretamente com a escola-parceira a partir de sua disponibilidade. Os temas para cada um dos minicursos partem de sugestões dos professores de matemática da escola e, por vezes, dos próprios licenciandos ou professores da LMAT a partir da necessidade de articulação entre conhecimentos, pedagógicos e de conteúdo, abordados em componentes curriculares específicos do curso através da carga horária de Prática como Componente Curricular. Desse modo, um aspecto primordial do projeto, na modalidade Extensão, refere-se ao desenvolvimento de minicursos vinculados aos horários de aula dos licenciandos, em parceria com as aulas de matemática da/na escola-parceira, mostrando-se um caminho possível para a curricularização da extensão conforme as metas estabelecidas pelo Plano Nacional de Educação (PNE). Essa experiência tem possibilitado aos licenciandos o contato com contextos educativos diferentes do vivenciado na própria instituição, permitindo a aplicação de metodologias alternativas e estratégias de ensino e aprendizagem diversificadas pensadas de modo a atender as peculiaridades de cada público-alvo. Até o momento foram realizadas atividades vinculadas às disciplinas de Estágio I, Seminários para o Ensino de Matemática I e II, a alunos do quarto ciclo do Ensino Fundamental e do Ensino Médio, abordando temas relacionados à geometria plana, trigonometria e análise combinatória. Ainda estão previstos para 2017, os temas de Geometria como revisão do Enem e com a utilização de tecnologia, Regra de Três, Números Inteiros com a utilização de jogos didáticos, Razão e Proporção, Análise Combinatória entre (muitos) outros. Acredita-se que o projeto tem ampliado a socialização de conhecimentos entre a LMAT e a rede pública de ensino contribuindo para a qualificação da formação inicial dos licenciandos do curso. </w:t>
      </w:r>
    </w:p>
    <w:p w:rsidR="00000000" w:rsidDel="00000000" w:rsidP="00000000" w:rsidRDefault="00000000" w:rsidRPr="00000000">
      <w:pPr>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pPr>
        <w:contextualSpacing w:val="0"/>
        <w:jc w:val="both"/>
        <w:rPr>
          <w:rFonts w:ascii="Arial" w:cs="Arial" w:eastAsia="Arial" w:hAnsi="Arial"/>
          <w:sz w:val="48"/>
          <w:szCs w:val="48"/>
        </w:rPr>
      </w:pPr>
      <w:r w:rsidDel="00000000" w:rsidR="00000000" w:rsidRPr="00000000">
        <w:rPr>
          <w:rFonts w:ascii="Arial" w:cs="Arial" w:eastAsia="Arial" w:hAnsi="Arial"/>
          <w:b w:val="1"/>
          <w:sz w:val="24"/>
          <w:szCs w:val="24"/>
          <w:rtl w:val="0"/>
        </w:rPr>
        <w:t xml:space="preserve">Palavras-chave: </w:t>
      </w:r>
      <w:r w:rsidDel="00000000" w:rsidR="00000000" w:rsidRPr="00000000">
        <w:rPr>
          <w:rFonts w:ascii="Arial" w:cs="Arial" w:eastAsia="Arial" w:hAnsi="Arial"/>
          <w:sz w:val="24"/>
          <w:szCs w:val="24"/>
          <w:rtl w:val="0"/>
        </w:rPr>
        <w:t xml:space="preserve">Formação Inicial; Integração com as Redes Públicas de Ensino; Ensino e Aprendizagem de Matemática. </w:t>
      </w:r>
      <w:r w:rsidDel="00000000" w:rsidR="00000000" w:rsidRPr="00000000">
        <w:rPr>
          <w:rtl w:val="0"/>
        </w:rPr>
      </w:r>
    </w:p>
    <w:sectPr>
      <w:pgSz w:h="16838" w:w="11906"/>
      <w:pgMar w:bottom="1417" w:top="1417" w:left="1701"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